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4.jpeg" ContentType="image/jpeg"/>
  <Override PartName="/word/media/image2.png" ContentType="image/png"/>
  <Override PartName="/word/media/image3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46"/>
        <w:ind w:hanging="0" w:left="0" w:right="0"/>
        <w:jc w:val="center"/>
        <w:rPr/>
      </w:pPr>
      <w:r>
        <w:rPr>
          <w:sz w:val="52"/>
          <w:szCs w:val="52"/>
        </w:rPr>
        <w:t xml:space="preserve">Manuale per la registrazione e utilizzo della piattaforma SiMeal </w:t>
      </w:r>
    </w:p>
    <w:p>
      <w:pPr>
        <w:pStyle w:val="Heading1"/>
        <w:ind w:hanging="0" w:left="-5" w:right="5"/>
        <w:rPr/>
      </w:pPr>
      <w:r>
        <w:rPr/>
        <w:t>Registrazione utenti</w:t>
      </w:r>
      <w:r>
        <w:rPr>
          <w:u w:val="none"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0" w:left="-5" w:right="0"/>
        <w:rPr/>
      </w:pPr>
      <w:r>
        <w:rPr/>
        <w:t xml:space="preserve">La registrazione richiederà pochi minuti del vostro tempo e consentirà, anche negli anni a venire, di consultare notizie e informazioni sull’utilizzo del servizio di refezione, di iscrivere i vostri figli ad altri servizi che saranno successivamente resi disponibili. </w:t>
      </w:r>
    </w:p>
    <w:p>
      <w:pPr>
        <w:pStyle w:val="Normal"/>
        <w:ind w:hanging="0" w:left="-5" w:right="0"/>
        <w:rPr/>
      </w:pPr>
      <w:r>
        <w:rPr/>
        <w:t xml:space="preserve">Gli utenti che intendono far richiesta dei servizi nido, mensa, trasporto, pre-post scuola o altro presso il comune, devono registrarsi alla piattaforma accedendo tramite il seguente link: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br/>
      </w:r>
      <w:r>
        <w:rPr>
          <w:highlight w:val="yellow"/>
        </w:rPr>
        <w:t>https://</w:t>
      </w:r>
      <w:r>
        <w:rPr>
          <w:highlight w:val="yellow"/>
        </w:rPr>
        <w:t>montespertoli</w:t>
      </w:r>
      <w:r>
        <w:rPr>
          <w:highlight w:val="yellow"/>
        </w:rPr>
        <w:t>.simeal.it/sicare/benvenuto.php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color w:val="0563C1"/>
        </w:rPr>
        <w:t xml:space="preserve"> </w:t>
      </w:r>
    </w:p>
    <w:p>
      <w:pPr>
        <w:pStyle w:val="Normal"/>
        <w:spacing w:lineRule="auto" w:line="259" w:before="0" w:after="18"/>
        <w:ind w:hanging="0" w:left="0" w:right="3"/>
        <w:rPr/>
      </w:pPr>
      <w:r>
        <w:rPr>
          <w:i/>
          <w:sz w:val="20"/>
          <w:szCs w:val="20"/>
        </w:rPr>
        <w:t>(per una maggiore visibilità della maschera di inserimento dati si consiglia di accedere direttamente da PC piuttosto che da cellulare o tablet. Si consiglia, inoltre, di utilizzare browser -ad es. Mozilla Firefox, Chrome - aggiornati alle ultime versioni)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color w:val="0563C1"/>
        </w:rPr>
        <w:t xml:space="preserve"> </w:t>
      </w:r>
      <w:r>
        <w:rPr/>
        <w:drawing>
          <wp:inline distT="0" distB="0" distL="0" distR="0">
            <wp:extent cx="3915410" cy="4315460"/>
            <wp:effectExtent l="0" t="0" r="0" b="0"/>
            <wp:docPr id="1" name="Immagin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35"/>
        <w:ind w:hanging="0" w:left="-5" w:right="0"/>
        <w:rPr/>
      </w:pPr>
      <w:r>
        <w:rPr/>
        <w:t xml:space="preserve">Dal 01/03/2021 è obbligatorio effettuare la registrazione al portare attraverso uno dei seguenti canali: </w:t>
      </w:r>
    </w:p>
    <w:p>
      <w:pPr>
        <w:pStyle w:val="Normal"/>
        <w:numPr>
          <w:ilvl w:val="0"/>
          <w:numId w:val="1"/>
        </w:numPr>
        <w:spacing w:before="0" w:after="32"/>
        <w:ind w:hanging="360" w:left="540" w:right="2"/>
        <w:rPr/>
      </w:pPr>
      <w:r>
        <w:rPr>
          <w:b/>
        </w:rPr>
        <w:t>SPID:</w:t>
      </w:r>
      <w:r>
        <w:rPr/>
        <w:t xml:space="preserve"> occorre richiedere l’autenticazione per SPID attraverso questo sito:</w:t>
      </w:r>
    </w:p>
    <w:p>
      <w:pPr>
        <w:pStyle w:val="Normal"/>
        <w:spacing w:before="0" w:after="32"/>
        <w:ind w:hanging="0" w:left="540" w:right="2"/>
        <w:rPr/>
      </w:pPr>
      <w:r>
        <w:rPr/>
        <w:t xml:space="preserve">https://www.spid.gov.it/ </w:t>
      </w:r>
    </w:p>
    <w:p>
      <w:pPr>
        <w:pStyle w:val="Normal"/>
        <w:numPr>
          <w:ilvl w:val="0"/>
          <w:numId w:val="1"/>
        </w:numPr>
        <w:spacing w:before="0" w:after="32"/>
        <w:ind w:hanging="360" w:left="540" w:right="2"/>
        <w:rPr/>
      </w:pPr>
      <w:r>
        <w:rPr>
          <w:b/>
        </w:rPr>
        <w:t>CNS/TS-CNS/CIE</w:t>
      </w:r>
      <w:r>
        <w:rPr/>
        <w:t xml:space="preserve">: In questo caso si deve essere in possesso della Carta nazionale dei servizi e/o tessera sanitaria per poter accedere. Maggiori informazioni sono disponibili al seguente sito: </w:t>
      </w:r>
      <w:hyperlink r:id="rId3">
        <w:r>
          <w:rPr>
            <w:color w:val="0563C1"/>
            <w:u w:val="single"/>
          </w:rPr>
          <w:t>https://www.agendadigitale.eu/documenti/cns-cose-e-come-utilizzare-la-carta-nazionale-dei-servizi-guida-completa-2019/</w:t>
        </w:r>
      </w:hyperlink>
    </w:p>
    <w:p>
      <w:pPr>
        <w:pStyle w:val="Normal"/>
        <w:spacing w:before="0" w:after="32"/>
        <w:ind w:hanging="0" w:left="540" w:right="2"/>
        <w:rPr/>
      </w:pPr>
      <w:r>
        <w:rPr/>
      </w:r>
    </w:p>
    <w:p>
      <w:pPr>
        <w:pStyle w:val="Normal"/>
        <w:ind w:hanging="0" w:left="-5" w:right="0"/>
        <w:rPr/>
      </w:pPr>
      <w:r>
        <w:rPr/>
        <w:t xml:space="preserve">Per la registrazione tramite SPID e CNS dovrete seguire i vari Step di autenticazione fino alla visualizzazione della nostra Home Page.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6123305" cy="385254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43"/>
        <w:ind w:hanging="0" w:left="1536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 </w:t>
      </w:r>
    </w:p>
    <w:p>
      <w:pPr>
        <w:pStyle w:val="Heading1"/>
        <w:ind w:hanging="0" w:left="-5" w:right="5"/>
        <w:rPr/>
      </w:pPr>
      <w:r>
        <w:rPr/>
        <w:t>Inserimento Domanda</w:t>
      </w:r>
      <w:r>
        <w:rPr>
          <w:u w:val="none"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0" w:left="-5" w:right="0"/>
        <w:rPr/>
      </w:pPr>
      <w:r>
        <w:rPr/>
        <w:t xml:space="preserve">Per presentare domanda di Iscrizione ai Servizi Scolastici selezionare la funzione di “Nuova domanda Servizi Scolastici” tramite il seguente pulsante: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46" w:right="0"/>
        <w:jc w:val="center"/>
        <w:rPr/>
      </w:pPr>
      <w:r>
        <w:rPr/>
        <w:drawing>
          <wp:inline distT="0" distB="0" distL="0" distR="0">
            <wp:extent cx="1438275" cy="1715135"/>
            <wp:effectExtent l="0" t="0" r="0" b="0"/>
            <wp:docPr id="3" name="Immagin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259" w:before="0" w:after="0"/>
        <w:ind w:hanging="0" w:left="47" w:right="0"/>
        <w:jc w:val="center"/>
        <w:rPr/>
      </w:pPr>
      <w:r>
        <w:rPr/>
        <w:t xml:space="preserve"> </w:t>
      </w:r>
    </w:p>
    <w:p>
      <w:pPr>
        <w:pStyle w:val="Normal"/>
        <w:ind w:hanging="0" w:left="-5" w:right="0"/>
        <w:rPr/>
      </w:pPr>
      <w:r>
        <w:rPr/>
        <w:t xml:space="preserve">Cliccando in questa sezione apparirà una lista di tutte le domande di iscrizione ai servizi scolastici a cui potrete accedere: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mc:AlternateContent>
          <mc:Choice Requires="wpg">
            <w:drawing>
              <wp:inline distT="0" distB="0" distL="0" distR="0" wp14:anchorId="1FC8C090">
                <wp:extent cx="6090920" cy="1534160"/>
                <wp:effectExtent l="0" t="0" r="0" b="0"/>
                <wp:docPr id="4" name="Gruppo 42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840" cy="1534320"/>
                          <a:chOff x="0" y="0"/>
                          <a:chExt cx="6090840" cy="15343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90840" cy="1534320"/>
                          </a:xfrm>
                        </wpg:grpSpPr>
                        <wps:wsp>
                          <wps:cNvPr id="5" name="Rettangolo 3"/>
                          <wps:cNvSpPr/>
                          <wps:spPr>
                            <a:xfrm>
                              <a:off x="0" y="0"/>
                              <a:ext cx="6080040" cy="1488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6" name="Rettangolo 4"/>
                          <wps:cNvSpPr/>
                          <wps:spPr>
                            <a:xfrm>
                              <a:off x="0" y="0"/>
                              <a:ext cx="414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7" name="Rettangolo 5"/>
                          <wps:cNvSpPr/>
                          <wps:spPr>
                            <a:xfrm>
                              <a:off x="6049800" y="974880"/>
                              <a:ext cx="414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8" name="Rettangolo 6"/>
                          <wps:cNvSpPr/>
                          <wps:spPr>
                            <a:xfrm>
                              <a:off x="0" y="1117080"/>
                              <a:ext cx="3258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>
                                    <w:b/>
                                  </w:rPr>
                                  <w:t>N.B.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9" name="Rettangolo 7"/>
                          <wps:cNvSpPr/>
                          <wps:spPr>
                            <a:xfrm>
                              <a:off x="245160" y="1117080"/>
                              <a:ext cx="414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10" name="Rettangolo 8"/>
                          <wps:cNvSpPr/>
                          <wps:spPr>
                            <a:xfrm>
                              <a:off x="0" y="1296000"/>
                              <a:ext cx="414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9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0" y="153000"/>
                              <a:ext cx="6049080" cy="9237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Pr id="12" name="Figura a mano libera: forma 10"/>
                          <wps:cNvSpPr/>
                          <wps:spPr>
                            <a:xfrm>
                              <a:off x="5312520" y="638640"/>
                              <a:ext cx="541080" cy="388800"/>
                            </a:xfrm>
                            <a:custGeom>
                              <a:avLst/>
                              <a:gdLst>
                                <a:gd name="textAreaLeft" fmla="*/ 0 w 306720"/>
                                <a:gd name="textAreaRight" fmla="*/ 307080 w 306720"/>
                                <a:gd name="textAreaTop" fmla="*/ 0 h 220320"/>
                                <a:gd name="textAreaBottom" fmla="*/ 220680 h 220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42544" h="400812">
                                  <a:moveTo>
                                    <a:pt x="0" y="200406"/>
                                  </a:moveTo>
                                  <a:cubicBezTo>
                                    <a:pt x="0" y="89662"/>
                                    <a:pt x="121412" y="0"/>
                                    <a:pt x="271272" y="0"/>
                                  </a:cubicBezTo>
                                  <a:cubicBezTo>
                                    <a:pt x="421132" y="0"/>
                                    <a:pt x="542544" y="89662"/>
                                    <a:pt x="542544" y="200406"/>
                                  </a:cubicBezTo>
                                  <a:cubicBezTo>
                                    <a:pt x="542544" y="311023"/>
                                    <a:pt x="421132" y="400812"/>
                                    <a:pt x="271272" y="400812"/>
                                  </a:cubicBezTo>
                                  <a:cubicBezTo>
                                    <a:pt x="121412" y="400812"/>
                                    <a:pt x="0" y="311023"/>
                                    <a:pt x="0" y="20040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800">
                              <a:solidFill>
                                <a:srgbClr val="ff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3" name="Figura a mano libera: forma 11"/>
                          <wps:cNvSpPr/>
                          <wps:spPr>
                            <a:xfrm>
                              <a:off x="5834520" y="462960"/>
                              <a:ext cx="243720" cy="210240"/>
                            </a:xfrm>
                            <a:custGeom>
                              <a:avLst/>
                              <a:gdLst>
                                <a:gd name="textAreaLeft" fmla="*/ 0 w 138240"/>
                                <a:gd name="textAreaRight" fmla="*/ 138600 w 138240"/>
                                <a:gd name="textAreaTop" fmla="*/ 0 h 119160"/>
                                <a:gd name="textAreaBottom" fmla="*/ 119520 h 1191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44728" h="217043">
                                  <a:moveTo>
                                    <a:pt x="231521" y="0"/>
                                  </a:moveTo>
                                  <a:lnTo>
                                    <a:pt x="244728" y="14986"/>
                                  </a:lnTo>
                                  <a:lnTo>
                                    <a:pt x="63757" y="174121"/>
                                  </a:lnTo>
                                  <a:lnTo>
                                    <a:pt x="82423" y="195326"/>
                                  </a:lnTo>
                                  <a:lnTo>
                                    <a:pt x="0" y="217043"/>
                                  </a:lnTo>
                                  <a:lnTo>
                                    <a:pt x="32003" y="138050"/>
                                  </a:lnTo>
                                  <a:lnTo>
                                    <a:pt x="50670" y="159255"/>
                                  </a:lnTo>
                                  <a:lnTo>
                                    <a:pt x="231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Rettangolo 12"/>
                          <wps:cNvSpPr/>
                          <wps:spPr>
                            <a:xfrm>
                              <a:off x="32400" y="1350720"/>
                              <a:ext cx="41400" cy="18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0" w:after="16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uppo 4206" style="position:absolute;margin-left:0pt;margin-top:-120.85pt;width:479.6pt;height:120.8pt" coordorigin="0,-2417" coordsize="9592,2416">
                <v:group id="shape_0" style="position:absolute;left:0;top:-2417;width:9592;height:2416">
                  <v:rect id="shape_0" ID="Rettangolo 3" path="m0,0l-2147483645,0l-2147483645,-2147483646l0,-2147483646xe" stroked="f" o:allowincell="f" style="position:absolute;left:0;top:-2417;width:9574;height:234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rect id="shape_0" ID="Rettangolo 4" path="m0,0l-2147483645,0l-2147483645,-2147483646l0,-2147483646xe" stroked="f" o:allowincell="f" style="position:absolute;left:0;top:-2417;width:64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  <v:rect id="shape_0" ID="Rettangolo 5" path="m0,0l-2147483645,0l-2147483645,-2147483646l0,-2147483646xe" stroked="f" o:allowincell="f" style="position:absolute;left:9527;top:-882;width:64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  <v:rect id="shape_0" ID="Rettangolo 6" path="m0,0l-2147483645,0l-2147483645,-2147483646l0,-2147483646xe" stroked="f" o:allowincell="f" style="position:absolute;left:0;top:-658;width:512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b/>
                            </w:rPr>
                            <w:t>N.B.</w:t>
                          </w:r>
                        </w:p>
                      </w:txbxContent>
                    </v:textbox>
                    <w10:wrap type="square"/>
                  </v:rect>
                  <v:rect id="shape_0" ID="Rettangolo 7" path="m0,0l-2147483645,0l-2147483645,-2147483646l0,-2147483646xe" stroked="f" o:allowincell="f" style="position:absolute;left:386;top:-658;width:64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  <v:rect id="shape_0" ID="Rettangolo 8" path="m0,0l-2147483645,0l-2147483645,-2147483646l0,-2147483646xe" stroked="f" o:allowincell="f" style="position:absolute;left:0;top:-376;width:64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9" stroked="f" o:allowincell="f" style="position:absolute;left:0;top:-2176;width:9525;height:1454;mso-wrap-style:none;v-text-anchor:middle;mso-position-vertical:top" type="_x0000_t75">
                    <v:imagedata r:id="rId7" o:detectmouseclick="t"/>
                    <v:stroke color="#3465a4" joinstyle="round" endcap="flat"/>
                    <w10:wrap type="square"/>
                  </v:shape>
                  <v:rect id="shape_0" ID="Rettangolo 12" path="m0,0l-2147483645,0l-2147483645,-2147483646l0,-2147483646xe" stroked="f" o:allowincell="f" style="position:absolute;left:51;top:-290;width:64;height:288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"/>
        <w:ind w:hanging="0" w:left="2" w:right="0"/>
        <w:jc w:val="left"/>
        <w:rPr/>
      </w:pPr>
      <w:r>
        <w:rPr>
          <w:b/>
          <w:i/>
          <w:u w:val="single"/>
        </w:rPr>
        <w:t>Le domande sono individuali, quindi per ogni figlio dovrete compilare la domanda relativa al servizio che</w:t>
      </w:r>
      <w:r>
        <w:rPr>
          <w:b/>
          <w:i/>
        </w:rPr>
        <w:t xml:space="preserve"> </w:t>
      </w:r>
      <w:r>
        <w:rPr>
          <w:b/>
          <w:i/>
          <w:u w:val="single"/>
        </w:rPr>
        <w:t>volete attivare.</w:t>
      </w:r>
      <w:r>
        <w:rPr>
          <w:b/>
          <w:i/>
        </w:rPr>
        <w:t xml:space="preserve"> 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0"/>
        <w:ind w:hanging="0" w:left="-8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0" w:left="-5" w:right="0"/>
        <w:rPr/>
      </w:pPr>
      <w:r>
        <w:rPr/>
        <w:t xml:space="preserve">Selezionare “+ Nuova domanda” e compilare le maschere dei vari Step con i seguenti dati: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328"/>
        <w:ind w:hanging="0" w:left="-5" w:right="0"/>
        <w:rPr/>
      </w:pPr>
      <w:r>
        <w:rPr>
          <w:b/>
        </w:rPr>
        <w:t>Step 1</w:t>
      </w:r>
      <w:r>
        <w:rPr/>
        <w:t xml:space="preserve">: dati del richiedente: verranno proposti in automatico i dati inseriti in sede di registrazione quindi accertarsi che tutti i campi, nella funzione </w:t>
      </w:r>
      <w:r>
        <w:rPr>
          <w:b/>
        </w:rPr>
        <w:t>I MIEI DATI</w:t>
      </w:r>
      <w:r>
        <w:rPr/>
        <w:t xml:space="preserve">, siano completi quindi ‘SALVA E CONTINUA’ </w:t>
      </w:r>
      <w:r>
        <w:rPr>
          <w:b/>
          <w:i/>
        </w:rPr>
        <w:t xml:space="preserve">N.B. Il genitore che effettua la domanda sarà l’intestatario dei pagamenti. </w:t>
      </w:r>
    </w:p>
    <w:p>
      <w:pPr>
        <w:pStyle w:val="Normal"/>
        <w:spacing w:lineRule="auto" w:line="259" w:before="0" w:after="194"/>
        <w:ind w:hanging="0" w:left="-5" w:right="0"/>
        <w:jc w:val="left"/>
        <w:rPr/>
      </w:pPr>
      <w:r>
        <w:rPr>
          <w:b/>
        </w:rPr>
        <w:t>Step 1.2:</w:t>
      </w:r>
      <w:r>
        <w:rPr/>
        <w:t xml:space="preserve">  </w:t>
      </w:r>
    </w:p>
    <w:p>
      <w:pPr>
        <w:pStyle w:val="Normal"/>
        <w:numPr>
          <w:ilvl w:val="0"/>
          <w:numId w:val="2"/>
        </w:numPr>
        <w:spacing w:before="0" w:after="35"/>
        <w:ind w:hanging="360" w:left="720" w:right="0"/>
        <w:rPr/>
      </w:pPr>
      <w:r>
        <w:rPr/>
        <w:t xml:space="preserve">Per i residenti presso il Comune è possibile visionare il proprio nucleo familiare, quindi selezionare il figlio per cui si vuole effettuare la domanda. In questo modo i dati verranno compilati in automatico allo Step 2 </w:t>
      </w:r>
    </w:p>
    <w:p>
      <w:pPr>
        <w:pStyle w:val="Normal"/>
        <w:numPr>
          <w:ilvl w:val="0"/>
          <w:numId w:val="2"/>
        </w:numPr>
        <w:spacing w:before="0" w:after="159"/>
        <w:ind w:hanging="360" w:left="720" w:right="0"/>
        <w:rPr/>
      </w:pPr>
      <w:r>
        <w:rPr/>
        <w:t xml:space="preserve">Per i non residenti presso il Comune, i dati allo Step 2 dovranno essere inseriti manualmente </w:t>
      </w:r>
    </w:p>
    <w:p>
      <w:pPr>
        <w:pStyle w:val="Normal"/>
        <w:spacing w:before="0" w:after="161"/>
        <w:ind w:hanging="0" w:left="-5" w:right="0"/>
        <w:rPr/>
      </w:pPr>
      <w:r>
        <w:rPr>
          <w:b/>
        </w:rPr>
        <w:t>Step 2</w:t>
      </w:r>
      <w:r>
        <w:rPr/>
        <w:t xml:space="preserve">: inserire i dati del bambino (vedi indicazioni per lo Step 1.2), quindi ‘SALVA E CONTINUA’ </w:t>
      </w:r>
    </w:p>
    <w:p>
      <w:pPr>
        <w:pStyle w:val="Normal"/>
        <w:spacing w:before="0" w:after="162"/>
        <w:ind w:hanging="0" w:left="-5" w:right="0"/>
        <w:rPr/>
      </w:pPr>
      <w:r>
        <w:rPr>
          <w:b/>
        </w:rPr>
        <w:t>Step 3</w:t>
      </w:r>
      <w:r>
        <w:rPr/>
        <w:t xml:space="preserve">: inserire i dati informativi relativi al servizio per cui si sta facendo l’iscrizione, quindi ‘SALVA E CONTINUA’ </w:t>
      </w:r>
    </w:p>
    <w:p>
      <w:pPr>
        <w:pStyle w:val="Normal"/>
        <w:spacing w:before="0" w:after="160"/>
        <w:ind w:hanging="0" w:left="-5" w:right="0"/>
        <w:rPr/>
      </w:pPr>
      <w:r>
        <w:rPr>
          <w:b/>
        </w:rPr>
        <w:t>Step 4</w:t>
      </w:r>
      <w:r>
        <w:rPr/>
        <w:t xml:space="preserve">: prendere visione delle informative sulla privacy e sulle condizioni generali del servizio allegate in questa sezione, quindi confermare la presa visione e selezionare ‘SALVA E CONTINUA’ </w:t>
      </w:r>
    </w:p>
    <w:p>
      <w:pPr>
        <w:pStyle w:val="Normal"/>
        <w:spacing w:before="0" w:after="159"/>
        <w:ind w:hanging="0" w:left="-5" w:right="0"/>
        <w:jc w:val="left"/>
        <w:rPr/>
      </w:pPr>
      <w:r>
        <w:rPr>
          <w:b/>
        </w:rPr>
        <w:t>Step 5</w:t>
      </w:r>
      <w:r>
        <w:rPr/>
        <w:t>: allegare i documenti richiesti</w:t>
        <w:br/>
        <w:br/>
      </w:r>
      <w:r>
        <w:rPr>
          <w:b/>
        </w:rPr>
        <w:t>Step 6</w:t>
      </w:r>
      <w:r>
        <w:rPr/>
        <w:t xml:space="preserve">: verificare la completezza di tutti dati inseriti nei precedenti Step e selezionare il tasto “Invia la richiesta”. </w:t>
      </w:r>
    </w:p>
    <w:p>
      <w:pPr>
        <w:pStyle w:val="Normal"/>
        <w:spacing w:lineRule="auto" w:line="259" w:before="0" w:after="0"/>
        <w:ind w:hanging="0" w:left="-5" w:right="0"/>
        <w:jc w:val="left"/>
        <w:rPr/>
      </w:pPr>
      <w:r>
        <w:rPr>
          <w:b/>
        </w:rPr>
        <w:t xml:space="preserve">N.B. 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"/>
        <w:ind w:hanging="10" w:left="10" w:right="0"/>
        <w:jc w:val="left"/>
        <w:rPr/>
      </w:pPr>
      <w:r>
        <w:rPr>
          <w:b/>
          <w:i/>
          <w:u w:val="single"/>
        </w:rPr>
        <w:t>Tutte le domande inviate NON possono essere modificate dal referente.</w:t>
      </w:r>
      <w:r>
        <w:rPr>
          <w:b/>
          <w:i/>
        </w:rPr>
        <w:t xml:space="preserve">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0"/>
        <w:ind w:hanging="0" w:left="0" w:right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0"/>
        <w:ind w:hanging="0" w:left="0" w:right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ind w:hanging="0" w:left="-5" w:right="0"/>
        <w:rPr/>
      </w:pPr>
      <w:r>
        <w:rPr/>
        <w:t xml:space="preserve">Una volta inviata la domanda è possibile selezionare la voce ‘Torna all’elenco’ e presentare una domanda per eventuali altri figli, ripetendo la procedura appena descritta oppure selezionare ‘Esci’ per tornare alla maschera principale. 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ind w:hanging="0" w:left="-5" w:right="0"/>
        <w:rPr/>
      </w:pPr>
      <w:r>
        <w:rPr/>
        <w:t xml:space="preserve">Tutte le domande inviate sono consultabili tramite il pulsante ‘Domande Inviate’.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bookmarkStart w:id="0" w:name="_heading=h.gjdgxs"/>
      <w:bookmarkEnd w:id="0"/>
      <w:r>
        <w:rPr>
          <w:rFonts w:eastAsia="Century Gothic" w:cs="Century Gothic" w:ascii="Century Gothic" w:hAnsi="Century Gothic"/>
          <w:color w:val="92D050"/>
          <w:sz w:val="20"/>
          <w:szCs w:val="20"/>
        </w:rPr>
        <w:t xml:space="preserve">  </w:t>
      </w:r>
    </w:p>
    <w:p>
      <w:pPr>
        <w:pStyle w:val="Heading1"/>
        <w:ind w:hanging="0" w:left="-5" w:right="5"/>
        <w:rPr/>
      </w:pPr>
      <w:r>
        <w:rPr/>
        <w:t>Altre funzioni disponibili in piattaforma</w:t>
      </w:r>
      <w:r>
        <w:rPr>
          <w:u w:val="none"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rFonts w:eastAsia="Century Gothic" w:cs="Century Gothic" w:ascii="Century Gothic" w:hAnsi="Century Gothic"/>
          <w:i/>
          <w:color w:val="92D050"/>
          <w:sz w:val="28"/>
          <w:szCs w:val="28"/>
        </w:rPr>
        <w:t xml:space="preserve"> </w:t>
      </w:r>
    </w:p>
    <w:p>
      <w:pPr>
        <w:pStyle w:val="Heading2"/>
        <w:ind w:hanging="0" w:left="-5" w:right="5"/>
        <w:rPr/>
      </w:pPr>
      <w:r>
        <w:rPr/>
        <w:t xml:space="preserve">I miei dati </w:t>
      </w:r>
    </w:p>
    <w:p>
      <w:pPr>
        <w:pStyle w:val="Normal"/>
        <w:spacing w:before="0" w:after="113"/>
        <w:ind w:hanging="0" w:left="-5" w:right="0"/>
        <w:rPr/>
      </w:pPr>
      <w:r>
        <w:rPr/>
        <w:t xml:space="preserve">Vengono riepilogati i dati di registrazione dell’utente. </w:t>
      </w:r>
    </w:p>
    <w:p>
      <w:pPr>
        <w:pStyle w:val="Normal"/>
        <w:spacing w:lineRule="auto" w:line="259" w:before="0" w:after="127"/>
        <w:ind w:hanging="0" w:left="0" w:right="0"/>
        <w:jc w:val="left"/>
        <w:rPr/>
      </w:pPr>
      <w:r>
        <w:rPr>
          <w:b/>
        </w:rPr>
        <w:t xml:space="preserve">N.B. Controllare che tutti i dati siano completi prima di procedere con l’iscrizione ai servizi </w:t>
      </w:r>
    </w:p>
    <w:p>
      <w:pPr>
        <w:pStyle w:val="Normal"/>
        <w:spacing w:lineRule="auto" w:line="259" w:before="0" w:after="97"/>
        <w:ind w:hanging="0" w:left="-5" w:right="0"/>
        <w:jc w:val="left"/>
        <w:rPr/>
      </w:pPr>
      <w:r>
        <w:rPr>
          <w:rFonts w:eastAsia="Century Gothic" w:cs="Century Gothic" w:ascii="Century Gothic" w:hAnsi="Century Gothic"/>
          <w:b/>
          <w:i/>
          <w:color w:val="92D050"/>
        </w:rPr>
        <w:t xml:space="preserve">Presenze </w:t>
      </w:r>
    </w:p>
    <w:p>
      <w:pPr>
        <w:pStyle w:val="Normal"/>
        <w:spacing w:before="0" w:after="128"/>
        <w:ind w:hanging="0" w:left="-5" w:right="0"/>
        <w:rPr/>
      </w:pPr>
      <w:r>
        <w:rPr/>
        <w:t xml:space="preserve">Tramite questa funzione è possibile consultare i giorni in cui il bambino ha mangiato a scuola. </w:t>
      </w:r>
    </w:p>
    <w:p>
      <w:pPr>
        <w:pStyle w:val="Normal"/>
        <w:spacing w:lineRule="auto" w:line="259" w:before="0" w:after="97"/>
        <w:ind w:hanging="0" w:left="-5" w:right="0"/>
        <w:jc w:val="left"/>
        <w:rPr/>
      </w:pPr>
      <w:r>
        <w:rPr>
          <w:rFonts w:eastAsia="Century Gothic" w:cs="Century Gothic" w:ascii="Century Gothic" w:hAnsi="Century Gothic"/>
          <w:b/>
          <w:i/>
          <w:color w:val="92D050"/>
        </w:rPr>
        <w:t xml:space="preserve">Comunicazioni </w:t>
      </w:r>
    </w:p>
    <w:p>
      <w:pPr>
        <w:pStyle w:val="Normal"/>
        <w:spacing w:before="0" w:after="128"/>
        <w:ind w:hanging="0" w:left="-5" w:right="0"/>
        <w:rPr/>
      </w:pPr>
      <w:r>
        <w:rPr/>
        <w:t xml:space="preserve">Tramite questa funzione è possibile inviare/ricevere comunicazioni per chiarimenti al personale del Comune. </w:t>
      </w:r>
    </w:p>
    <w:p>
      <w:pPr>
        <w:pStyle w:val="Normal"/>
        <w:spacing w:lineRule="auto" w:line="259" w:before="0" w:after="97"/>
        <w:ind w:hanging="0" w:left="-5" w:right="0"/>
        <w:jc w:val="left"/>
        <w:rPr/>
      </w:pPr>
      <w:r>
        <w:rPr>
          <w:rFonts w:eastAsia="Century Gothic" w:cs="Century Gothic" w:ascii="Century Gothic" w:hAnsi="Century Gothic"/>
          <w:b/>
          <w:i/>
          <w:color w:val="92D050"/>
        </w:rPr>
        <w:t xml:space="preserve">Come pagare </w:t>
      </w:r>
    </w:p>
    <w:p>
      <w:pPr>
        <w:pStyle w:val="Normal"/>
        <w:spacing w:before="0" w:after="125"/>
        <w:ind w:hanging="0" w:left="-5" w:right="0"/>
        <w:rPr/>
      </w:pPr>
      <w:r>
        <w:rPr/>
        <w:t xml:space="preserve">In questo pulsante vengono date indicazioni su come effettuare i versamenti per la mensa. </w:t>
      </w:r>
    </w:p>
    <w:p>
      <w:pPr>
        <w:pStyle w:val="Normal"/>
        <w:spacing w:lineRule="auto" w:line="259" w:before="0" w:after="97"/>
        <w:ind w:hanging="0" w:left="-5" w:right="0"/>
        <w:jc w:val="left"/>
        <w:rPr/>
      </w:pPr>
      <w:r>
        <w:rPr>
          <w:rFonts w:eastAsia="Century Gothic" w:cs="Century Gothic" w:ascii="Century Gothic" w:hAnsi="Century Gothic"/>
          <w:b/>
          <w:i/>
          <w:color w:val="92D050"/>
        </w:rPr>
        <w:t xml:space="preserve">Pagamenti </w:t>
      </w:r>
    </w:p>
    <w:p>
      <w:pPr>
        <w:pStyle w:val="Normal"/>
        <w:spacing w:before="0" w:after="128"/>
        <w:ind w:hanging="0" w:left="-5" w:right="0"/>
        <w:rPr/>
      </w:pPr>
      <w:r>
        <w:rPr/>
        <w:t xml:space="preserve">In questa voce vengono elencati i versamenti eseguiti per i servizi attivi. </w:t>
      </w:r>
    </w:p>
    <w:p>
      <w:pPr>
        <w:pStyle w:val="Heading2"/>
        <w:ind w:hanging="0" w:left="-5" w:right="5"/>
        <w:rPr/>
      </w:pPr>
      <w:r>
        <w:rPr/>
        <w:t xml:space="preserve">Estratto conto </w:t>
      </w:r>
    </w:p>
    <w:p>
      <w:pPr>
        <w:pStyle w:val="Normal"/>
        <w:spacing w:lineRule="auto" w:line="357"/>
        <w:ind w:hanging="0" w:left="-5" w:right="0"/>
        <w:rPr/>
      </w:pPr>
      <w:r>
        <w:rPr/>
        <w:t xml:space="preserve">È possibile consultare velocemente il saldo del proprio conto, verificando sia le somme dovute che i versamenti eseguiti.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sectPr>
      <w:type w:val="nextPage"/>
      <w:pgSz w:w="11906" w:h="16838"/>
      <w:pgMar w:left="1133" w:right="1130" w:gutter="0" w:header="0" w:top="1416" w:footer="0" w:bottom="141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540" w:hanging="54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288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432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504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576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648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288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432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504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576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648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6" w:before="0" w:after="3"/>
      <w:ind w:hanging="10" w:left="10" w:right="5"/>
      <w:jc w:val="both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9"/>
    <w:qFormat/>
    <w:pPr>
      <w:keepNext w:val="true"/>
      <w:keepLines/>
      <w:widowControl/>
      <w:bidi w:val="0"/>
      <w:spacing w:lineRule="auto" w:line="256" w:before="0" w:after="0"/>
      <w:ind w:hanging="10" w:left="10" w:right="5"/>
      <w:jc w:val="both"/>
      <w:outlineLvl w:val="0"/>
    </w:pPr>
    <w:rPr>
      <w:rFonts w:ascii="Calibri" w:hAnsi="Calibri" w:eastAsia="Calibri" w:cs="Calibri"/>
      <w:i/>
      <w:color w:val="80C535"/>
      <w:kern w:val="0"/>
      <w:sz w:val="32"/>
      <w:szCs w:val="22"/>
      <w:u w:val="single" w:color="80C535"/>
      <w:lang w:val="it-IT" w:eastAsia="it-IT" w:bidi="ar-SA"/>
    </w:rPr>
  </w:style>
  <w:style w:type="paragraph" w:styleId="Heading2">
    <w:name w:val="Heading 2"/>
    <w:next w:val="Normal"/>
    <w:link w:val="Titolo2Carattere"/>
    <w:uiPriority w:val="9"/>
    <w:unhideWhenUsed/>
    <w:qFormat/>
    <w:pPr>
      <w:keepNext w:val="true"/>
      <w:keepLines/>
      <w:widowControl/>
      <w:bidi w:val="0"/>
      <w:spacing w:lineRule="auto" w:line="256" w:before="0" w:after="97"/>
      <w:ind w:hanging="10" w:left="10" w:right="5"/>
      <w:jc w:val="both"/>
      <w:outlineLvl w:val="1"/>
    </w:pPr>
    <w:rPr>
      <w:rFonts w:ascii="Century Gothic" w:hAnsi="Century Gothic" w:eastAsia="Century Gothic" w:cs="Century Gothic"/>
      <w:b/>
      <w:i/>
      <w:color w:val="92D050"/>
      <w:kern w:val="0"/>
      <w:sz w:val="22"/>
      <w:szCs w:val="22"/>
      <w:lang w:val="it-IT" w:eastAsia="it-IT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link w:val="Heading2"/>
    <w:qFormat/>
    <w:rPr>
      <w:rFonts w:ascii="Century Gothic" w:hAnsi="Century Gothic" w:eastAsia="Century Gothic" w:cs="Century Gothic"/>
      <w:b/>
      <w:i/>
      <w:color w:val="92D050"/>
      <w:sz w:val="22"/>
    </w:rPr>
  </w:style>
  <w:style w:type="character" w:styleId="Titolo1Carattere" w:customStyle="1">
    <w:name w:val="Titolo 1 Carattere"/>
    <w:link w:val="Heading1"/>
    <w:qFormat/>
    <w:rPr>
      <w:rFonts w:ascii="Calibri" w:hAnsi="Calibri" w:eastAsia="Calibri" w:cs="Calibri"/>
      <w:i/>
      <w:color w:val="80C535"/>
      <w:sz w:val="32"/>
      <w:u w:val="single" w:color="80C535"/>
    </w:rPr>
  </w:style>
  <w:style w:type="character" w:styleId="Hyperlink">
    <w:name w:val="Hyperlink"/>
    <w:basedOn w:val="DefaultParagraphFont"/>
    <w:uiPriority w:val="99"/>
    <w:unhideWhenUsed/>
    <w:rsid w:val="00ef562c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gendadigitale.eu/documenti/cns-cose-e-come-utilizzare-la-carta-nazionale-dei-servizi-guida-completa-2019/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4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tJnzlZ6hxu9tI/6aw5lmprRQD2g==">AMUW2mX36JirfLZ6pww1vKzYCcHfmLp1JoL31Q06deeXl/EotH+PMtdesWa/p+PpkwMrnrCZxAfo9DFF5tbwqatu/kevxa4O7skBN5wkcEEa7PfFQyXfXvUumWGma0WIyw5yT0RGqTIT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LibreOffice/24.2.0.3$MacOSX_X86_64 LibreOffice_project/da48488a73ddd66ea24cf16bbc4f7b9c08e9bea1</Application>
  <AppVersion>15.0000</AppVersion>
  <Pages>4</Pages>
  <Words>620</Words>
  <Characters>3741</Characters>
  <CharactersWithSpaces>4386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2022-11-17T14:04:00Z</dcterms:created>
  <dc:creator>Lenovo2</dc:creator>
  <dc:description/>
  <dc:language>it-IT</dc:language>
  <cp:lastModifiedBy/>
  <dcterms:modified xsi:type="dcterms:W3CDTF">2024-02-12T17:14:36Z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